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624C" w14:textId="2162EEBB" w:rsidR="00956F8D" w:rsidRDefault="00000000">
      <w:pPr>
        <w:rPr>
          <w:rFonts w:cs="Calibri"/>
          <w:b/>
          <w:bCs/>
          <w:sz w:val="32"/>
          <w:szCs w:val="32"/>
        </w:rPr>
      </w:pPr>
      <w:r>
        <w:rPr>
          <w:rFonts w:cs="Calibri"/>
          <w:noProof/>
          <w:sz w:val="32"/>
          <w:szCs w:val="32"/>
        </w:rPr>
        <w:drawing>
          <wp:anchor distT="0" distB="0" distL="114300" distR="114300" simplePos="0" relativeHeight="251658240" behindDoc="0" locked="0" layoutInCell="1" allowOverlap="1" wp14:anchorId="4DE8C621" wp14:editId="0E6AEF84">
            <wp:simplePos x="0" y="0"/>
            <wp:positionH relativeFrom="margin">
              <wp:align>right</wp:align>
            </wp:positionH>
            <wp:positionV relativeFrom="paragraph">
              <wp:posOffset>0</wp:posOffset>
            </wp:positionV>
            <wp:extent cx="1426845" cy="1457325"/>
            <wp:effectExtent l="0" t="0" r="1905" b="9525"/>
            <wp:wrapTight wrapText="bothSides">
              <wp:wrapPolygon edited="0">
                <wp:start x="0" y="0"/>
                <wp:lineTo x="0" y="21459"/>
                <wp:lineTo x="21340" y="21459"/>
                <wp:lineTo x="21340" y="0"/>
                <wp:lineTo x="0" y="0"/>
              </wp:wrapPolygon>
            </wp:wrapTight>
            <wp:docPr id="1582259150" name="Grafi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26845" cy="14573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cs="Calibri"/>
          <w:b/>
          <w:bCs/>
          <w:sz w:val="32"/>
          <w:szCs w:val="32"/>
        </w:rPr>
        <w:t>Behandlungskosten:</w:t>
      </w:r>
    </w:p>
    <w:p w14:paraId="30C71192" w14:textId="77777777" w:rsidR="0030516D" w:rsidRDefault="0030516D">
      <w:pPr>
        <w:rPr>
          <w:rFonts w:cs="Calibri"/>
          <w:sz w:val="24"/>
          <w:szCs w:val="24"/>
        </w:rPr>
      </w:pPr>
    </w:p>
    <w:p w14:paraId="6B5D2376" w14:textId="22B910D2" w:rsidR="00956F8D" w:rsidRDefault="00000000">
      <w:pPr>
        <w:rPr>
          <w:rFonts w:cs="Calibri"/>
          <w:sz w:val="24"/>
          <w:szCs w:val="24"/>
        </w:rPr>
      </w:pPr>
      <w:r>
        <w:rPr>
          <w:rFonts w:cs="Calibri"/>
          <w:sz w:val="24"/>
          <w:szCs w:val="24"/>
        </w:rPr>
        <w:t xml:space="preserve">Nachweislich ist die Homöopathie eine der preisgünstigen Behandlungen, insbesondere bei chronischen Erkrankungen. </w:t>
      </w:r>
    </w:p>
    <w:p w14:paraId="340125C0" w14:textId="17825E60" w:rsidR="00956F8D" w:rsidRDefault="00000000" w:rsidP="00DC185C">
      <w:pPr>
        <w:rPr>
          <w:rFonts w:eastAsia="Times New Roman" w:cs="Calibri"/>
          <w:i/>
          <w:iCs/>
          <w:color w:val="FFFFFF" w:themeColor="background1"/>
          <w:sz w:val="24"/>
          <w:szCs w:val="24"/>
          <w:lang w:eastAsia="de-DE"/>
        </w:rPr>
      </w:pPr>
      <w:r w:rsidRPr="0030516D">
        <w:rPr>
          <w:i/>
          <w:iCs/>
          <w:sz w:val="24"/>
          <w:szCs w:val="24"/>
        </w:rPr>
        <w:t>“In der Homöopathie steht den Ärzten ein medizinisches System zur Verfügung, das in der Lage ist, akute und chronische Krankheiten weitgehend nebenwirkungsfrei zu heilen.” Rita Süssmuth</w:t>
      </w:r>
      <w:r w:rsidRPr="0030516D">
        <w:rPr>
          <w:rFonts w:eastAsia="Times New Roman" w:cs="Calibri"/>
          <w:i/>
          <w:iCs/>
          <w:color w:val="FFFFFF" w:themeColor="background1"/>
          <w:sz w:val="24"/>
          <w:szCs w:val="24"/>
          <w:lang w:eastAsia="de-DE"/>
        </w:rPr>
        <w:t xml:space="preserve"> </w:t>
      </w:r>
    </w:p>
    <w:p w14:paraId="5488E4A9" w14:textId="77777777" w:rsidR="0030516D" w:rsidRPr="0030516D" w:rsidRDefault="0030516D" w:rsidP="00DC185C">
      <w:pPr>
        <w:rPr>
          <w:i/>
          <w:iCs/>
          <w:color w:val="FFFFFF" w:themeColor="background1"/>
        </w:rPr>
      </w:pPr>
    </w:p>
    <w:p w14:paraId="0EF83911" w14:textId="2D7FEFC8" w:rsidR="008B6F0E" w:rsidRPr="00DC185C" w:rsidRDefault="008B6F0E" w:rsidP="008B6F0E">
      <w:pPr>
        <w:rPr>
          <w:rFonts w:cs="Calibri"/>
          <w:b/>
          <w:bCs/>
          <w:i/>
          <w:iCs/>
          <w:sz w:val="32"/>
          <w:szCs w:val="32"/>
        </w:rPr>
      </w:pPr>
      <w:r>
        <w:rPr>
          <w:rFonts w:cs="Calibri"/>
          <w:b/>
          <w:bCs/>
          <w:sz w:val="32"/>
          <w:szCs w:val="32"/>
        </w:rPr>
        <w:t>Homöopathische Erstanamnese:</w:t>
      </w:r>
    </w:p>
    <w:p w14:paraId="2B1201C1" w14:textId="08946A26" w:rsidR="00956F8D" w:rsidRPr="0030516D" w:rsidRDefault="00000000">
      <w:pPr>
        <w:spacing w:before="100" w:after="100" w:line="360" w:lineRule="atLeast"/>
        <w:textAlignment w:val="auto"/>
        <w:rPr>
          <w:rFonts w:eastAsia="Times New Roman" w:cs="Calibri"/>
          <w:sz w:val="24"/>
          <w:szCs w:val="24"/>
          <w:lang w:eastAsia="de-DE"/>
        </w:rPr>
      </w:pPr>
      <w:r w:rsidRPr="0030516D">
        <w:rPr>
          <w:rFonts w:eastAsia="Times New Roman" w:cs="Calibri"/>
          <w:sz w:val="24"/>
          <w:szCs w:val="24"/>
          <w:lang w:eastAsia="de-DE"/>
        </w:rPr>
        <w:t xml:space="preserve">Ein klassischer Homöopath erarbeitet das homöopathische Mittel immer aufgrund der Gesamtheit der Symptomatik, um die Lebenskraft des Patienten zu aktivieren. Deshalb sind Zeit und Ruhe für die Anamnese notwendig. Jede chronische Anamnese beinhaltet die Aufarbeitung des Falles durch Fallanalyse, </w:t>
      </w:r>
      <w:proofErr w:type="spellStart"/>
      <w:r w:rsidRPr="0030516D">
        <w:rPr>
          <w:rFonts w:eastAsia="Times New Roman" w:cs="Calibri"/>
          <w:sz w:val="24"/>
          <w:szCs w:val="24"/>
          <w:lang w:eastAsia="de-DE"/>
        </w:rPr>
        <w:t>Repertorisation</w:t>
      </w:r>
      <w:proofErr w:type="spellEnd"/>
      <w:r w:rsidRPr="0030516D">
        <w:rPr>
          <w:rFonts w:eastAsia="Times New Roman" w:cs="Calibri"/>
          <w:sz w:val="24"/>
          <w:szCs w:val="24"/>
          <w:lang w:eastAsia="de-DE"/>
        </w:rPr>
        <w:t xml:space="preserve">, Mitteldifferenzierung und Auswahl. Eine Anamnese dauert in der Regel 1,5 bis 2,5 Stunden. Bei Kindern etwas kürzer. </w:t>
      </w:r>
    </w:p>
    <w:p w14:paraId="6CDA1C22" w14:textId="77777777" w:rsidR="00956F8D" w:rsidRPr="0030516D" w:rsidRDefault="00000000">
      <w:pPr>
        <w:spacing w:before="100" w:after="100" w:line="360" w:lineRule="atLeast"/>
        <w:textAlignment w:val="auto"/>
        <w:rPr>
          <w:rFonts w:eastAsia="Times New Roman" w:cs="Calibri"/>
          <w:sz w:val="24"/>
          <w:szCs w:val="24"/>
          <w:lang w:eastAsia="de-DE"/>
        </w:rPr>
      </w:pPr>
      <w:r w:rsidRPr="0030516D">
        <w:rPr>
          <w:rFonts w:eastAsia="Times New Roman" w:cs="Calibri"/>
          <w:sz w:val="24"/>
          <w:szCs w:val="24"/>
          <w:lang w:eastAsia="de-DE"/>
        </w:rPr>
        <w:t>Richtwert: Jugendliche &amp; Erwachsene 200-240 Euro, Kinder bis 14 Jahre ca. 160 Euro, Kinder bis 2 Jahre ca. 120 Euro.</w:t>
      </w:r>
    </w:p>
    <w:p w14:paraId="30DE278B" w14:textId="77777777" w:rsidR="008B6F0E" w:rsidRDefault="008B6F0E" w:rsidP="008B6F0E">
      <w:pPr>
        <w:rPr>
          <w:rFonts w:cs="Calibri"/>
          <w:b/>
          <w:bCs/>
          <w:sz w:val="32"/>
          <w:szCs w:val="32"/>
        </w:rPr>
      </w:pPr>
    </w:p>
    <w:p w14:paraId="389311BA" w14:textId="3F761A5D" w:rsidR="008B6F0E" w:rsidRDefault="008B6F0E" w:rsidP="008B6F0E">
      <w:pPr>
        <w:rPr>
          <w:rFonts w:cs="Calibri"/>
          <w:b/>
          <w:bCs/>
          <w:sz w:val="32"/>
          <w:szCs w:val="32"/>
        </w:rPr>
      </w:pPr>
      <w:r>
        <w:rPr>
          <w:rFonts w:cs="Calibri"/>
          <w:b/>
          <w:bCs/>
          <w:sz w:val="32"/>
          <w:szCs w:val="32"/>
        </w:rPr>
        <w:t>Homöopathisches Follow Up:</w:t>
      </w:r>
    </w:p>
    <w:p w14:paraId="74BCE7C8" w14:textId="41CF9FCE" w:rsidR="00956F8D" w:rsidRDefault="00000000">
      <w:pPr>
        <w:spacing w:before="100" w:after="100" w:line="360" w:lineRule="atLeast"/>
        <w:textAlignment w:val="auto"/>
        <w:rPr>
          <w:rFonts w:eastAsia="Times New Roman" w:cs="Calibri"/>
          <w:sz w:val="24"/>
          <w:szCs w:val="24"/>
          <w:lang w:eastAsia="de-DE"/>
        </w:rPr>
      </w:pPr>
      <w:r>
        <w:rPr>
          <w:rFonts w:eastAsia="Times New Roman" w:cs="Calibri"/>
          <w:sz w:val="24"/>
          <w:szCs w:val="24"/>
          <w:lang w:eastAsia="de-DE"/>
        </w:rPr>
        <w:t>Am Anfang der Behandlung ist eine Verlaufskontrolle ca. 6 Wochen notwendig, je nach Art und Schwere der Erkrankung. Bei fortschreitender Besserung reichen größere Abstände (z.B. 2x jährlich).</w:t>
      </w:r>
    </w:p>
    <w:p w14:paraId="0E14DF5E" w14:textId="54323E1A" w:rsidR="00956F8D" w:rsidRDefault="00000000">
      <w:pPr>
        <w:spacing w:before="100" w:after="100"/>
        <w:textAlignment w:val="auto"/>
        <w:rPr>
          <w:rFonts w:eastAsia="Times New Roman" w:cs="Calibri"/>
          <w:sz w:val="24"/>
          <w:szCs w:val="24"/>
          <w:lang w:eastAsia="de-DE"/>
        </w:rPr>
      </w:pPr>
      <w:r>
        <w:rPr>
          <w:rFonts w:eastAsia="Times New Roman" w:cs="Calibri"/>
          <w:sz w:val="24"/>
          <w:szCs w:val="24"/>
          <w:lang w:eastAsia="de-DE"/>
        </w:rPr>
        <w:t>Chronische Erkrankungen erfordern sowohl vom Patienten als auch vom Therapeuten Geduld, Zeit und eine gute Zusammenarbeit, da deren Entstehungsprozess oft schon viele Jahre (manchmal Jahrze</w:t>
      </w:r>
      <w:r w:rsidR="008B6F0E">
        <w:rPr>
          <w:rFonts w:eastAsia="Times New Roman" w:cs="Calibri"/>
          <w:sz w:val="24"/>
          <w:szCs w:val="24"/>
          <w:lang w:eastAsia="de-DE"/>
        </w:rPr>
        <w:t>h</w:t>
      </w:r>
      <w:r>
        <w:rPr>
          <w:rFonts w:eastAsia="Times New Roman" w:cs="Calibri"/>
          <w:sz w:val="24"/>
          <w:szCs w:val="24"/>
          <w:lang w:eastAsia="de-DE"/>
        </w:rPr>
        <w:t>nte) zurückliegt.</w:t>
      </w:r>
    </w:p>
    <w:p w14:paraId="51C9C86D" w14:textId="77777777" w:rsidR="00956F8D" w:rsidRDefault="00000000">
      <w:pPr>
        <w:spacing w:before="100" w:after="100" w:line="360" w:lineRule="atLeast"/>
        <w:textAlignment w:val="auto"/>
        <w:rPr>
          <w:rFonts w:eastAsia="Times New Roman" w:cs="Calibri"/>
          <w:sz w:val="24"/>
          <w:szCs w:val="24"/>
          <w:lang w:eastAsia="de-DE"/>
        </w:rPr>
      </w:pPr>
      <w:bookmarkStart w:id="0" w:name="_Hlk128385899"/>
      <w:r>
        <w:rPr>
          <w:rFonts w:eastAsia="Times New Roman" w:cs="Calibri"/>
          <w:sz w:val="24"/>
          <w:szCs w:val="24"/>
          <w:lang w:eastAsia="de-DE"/>
        </w:rPr>
        <w:t>Richtwert: 50 Euro (30 min), 100 Euro (60 min)</w:t>
      </w:r>
    </w:p>
    <w:p w14:paraId="0627C9D1" w14:textId="77777777" w:rsidR="008B6F0E" w:rsidRDefault="008B6F0E" w:rsidP="008B6F0E">
      <w:pPr>
        <w:rPr>
          <w:rFonts w:cs="Calibri"/>
          <w:b/>
          <w:bCs/>
          <w:sz w:val="32"/>
          <w:szCs w:val="32"/>
        </w:rPr>
      </w:pPr>
    </w:p>
    <w:p w14:paraId="1C725BCB" w14:textId="218BAAE5" w:rsidR="008B6F0E" w:rsidRDefault="008B6F0E" w:rsidP="008B6F0E">
      <w:pPr>
        <w:rPr>
          <w:rFonts w:cs="Calibri"/>
          <w:b/>
          <w:bCs/>
          <w:sz w:val="32"/>
          <w:szCs w:val="32"/>
        </w:rPr>
      </w:pPr>
      <w:r>
        <w:rPr>
          <w:rFonts w:cs="Calibri"/>
          <w:b/>
          <w:bCs/>
          <w:sz w:val="32"/>
          <w:szCs w:val="32"/>
        </w:rPr>
        <w:t>Beratungskosten für Akutanamnesen:</w:t>
      </w:r>
    </w:p>
    <w:bookmarkEnd w:id="0"/>
    <w:p w14:paraId="0629AF60" w14:textId="4999F5C2" w:rsidR="00956F8D" w:rsidRDefault="00000000">
      <w:pPr>
        <w:spacing w:before="100" w:after="100" w:line="360" w:lineRule="atLeast"/>
        <w:textAlignment w:val="auto"/>
        <w:rPr>
          <w:rFonts w:eastAsia="Times New Roman" w:cs="Calibri"/>
          <w:sz w:val="24"/>
          <w:szCs w:val="24"/>
          <w:lang w:eastAsia="de-DE"/>
        </w:rPr>
      </w:pPr>
      <w:r>
        <w:rPr>
          <w:rFonts w:eastAsia="Times New Roman" w:cs="Calibri"/>
          <w:sz w:val="24"/>
          <w:szCs w:val="24"/>
          <w:lang w:eastAsia="de-DE"/>
        </w:rPr>
        <w:t xml:space="preserve">Akutberatung am Telefon oder über Mail rechne ich nach Minuten (1,60--/Min) und Aufwand ab. </w:t>
      </w:r>
    </w:p>
    <w:p w14:paraId="63006766" w14:textId="77777777" w:rsidR="008B6F0E" w:rsidRDefault="008B6F0E" w:rsidP="008B6F0E">
      <w:pPr>
        <w:rPr>
          <w:rFonts w:cs="Calibri"/>
          <w:b/>
          <w:bCs/>
          <w:sz w:val="32"/>
          <w:szCs w:val="32"/>
        </w:rPr>
      </w:pPr>
    </w:p>
    <w:p w14:paraId="1F3964C9" w14:textId="063CBBE1" w:rsidR="008B6F0E" w:rsidRDefault="008B6F0E" w:rsidP="008B6F0E">
      <w:pPr>
        <w:rPr>
          <w:rFonts w:cs="Calibri"/>
          <w:b/>
          <w:bCs/>
          <w:sz w:val="32"/>
          <w:szCs w:val="32"/>
        </w:rPr>
      </w:pPr>
      <w:r>
        <w:rPr>
          <w:rFonts w:cs="Calibri"/>
          <w:b/>
          <w:bCs/>
          <w:sz w:val="32"/>
          <w:szCs w:val="32"/>
        </w:rPr>
        <w:t>Alternativmedizinische Beratung/ Auswertung von Laborwerten:</w:t>
      </w:r>
    </w:p>
    <w:p w14:paraId="5A3582D6" w14:textId="77777777" w:rsidR="00956F8D" w:rsidRDefault="00000000">
      <w:pPr>
        <w:pStyle w:val="StandardWeb"/>
        <w:shd w:val="clear" w:color="auto" w:fill="FFFFFF"/>
        <w:spacing w:before="0" w:after="180"/>
        <w:rPr>
          <w:sz w:val="24"/>
          <w:szCs w:val="24"/>
        </w:rPr>
      </w:pPr>
      <w:r>
        <w:rPr>
          <w:sz w:val="24"/>
          <w:szCs w:val="24"/>
        </w:rPr>
        <w:t>Ausführliche Beratung zu Ihren Blutergebnissen, Zweitmeinung und schriftlicher Therapieplan</w:t>
      </w:r>
    </w:p>
    <w:p w14:paraId="51E9305F" w14:textId="77777777" w:rsidR="00956F8D" w:rsidRDefault="00000000">
      <w:pPr>
        <w:pStyle w:val="StandardWeb"/>
        <w:shd w:val="clear" w:color="auto" w:fill="FFFFFF"/>
        <w:spacing w:before="0" w:after="180"/>
        <w:rPr>
          <w:sz w:val="24"/>
          <w:szCs w:val="24"/>
        </w:rPr>
      </w:pPr>
      <w:r>
        <w:rPr>
          <w:sz w:val="24"/>
          <w:szCs w:val="24"/>
        </w:rPr>
        <w:t>Richtwert: 70-100 Euro</w:t>
      </w:r>
    </w:p>
    <w:p w14:paraId="79F18FA3" w14:textId="77777777" w:rsidR="00956F8D" w:rsidRDefault="00000000">
      <w:r>
        <w:t>​</w:t>
      </w:r>
      <w:r>
        <w:rPr>
          <w:sz w:val="24"/>
          <w:szCs w:val="24"/>
        </w:rPr>
        <w:t>Die Abrechnung erfolgt nach einem praxiseigenen Leistungsmodell, das auf der </w:t>
      </w:r>
      <w:hyperlink r:id="rId7" w:history="1">
        <w:r>
          <w:rPr>
            <w:rStyle w:val="Hyperlink"/>
            <w:sz w:val="24"/>
            <w:szCs w:val="24"/>
          </w:rPr>
          <w:t>Gebührenordnung für Heilpraktiker</w:t>
        </w:r>
      </w:hyperlink>
      <w:r>
        <w:rPr>
          <w:sz w:val="24"/>
          <w:szCs w:val="24"/>
        </w:rPr>
        <w:t> basiert, jedoch diese Sätze entsprechend dem geleisteten Mehraufwand überschreitet.</w:t>
      </w:r>
    </w:p>
    <w:p w14:paraId="43206C55" w14:textId="77777777" w:rsidR="00956F8D" w:rsidRDefault="00000000">
      <w:r>
        <w:rPr>
          <w:sz w:val="24"/>
          <w:szCs w:val="24"/>
          <w:lang w:eastAsia="de-DE"/>
        </w:rPr>
        <w:t xml:space="preserve">Private Krankenversicherungen, Beihilfe und Heilpraktiker-Zusatzversicherungen erstatten meine Leistungen (anteilig). Eine Kostenerstattung bis zu 100 Prozent ist möglich, aber nicht garantiert.     </w:t>
      </w:r>
    </w:p>
    <w:sectPr w:rsidR="00956F8D">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BB03" w14:textId="77777777" w:rsidR="00EC013B" w:rsidRDefault="00EC013B">
      <w:pPr>
        <w:spacing w:after="0"/>
      </w:pPr>
      <w:r>
        <w:separator/>
      </w:r>
    </w:p>
  </w:endnote>
  <w:endnote w:type="continuationSeparator" w:id="0">
    <w:p w14:paraId="006DD6A2" w14:textId="77777777" w:rsidR="00EC013B" w:rsidRDefault="00EC0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E11B" w14:textId="77777777" w:rsidR="00EC013B" w:rsidRDefault="00EC013B">
      <w:pPr>
        <w:spacing w:after="0"/>
      </w:pPr>
      <w:r>
        <w:rPr>
          <w:color w:val="000000"/>
        </w:rPr>
        <w:separator/>
      </w:r>
    </w:p>
  </w:footnote>
  <w:footnote w:type="continuationSeparator" w:id="0">
    <w:p w14:paraId="30091D30" w14:textId="77777777" w:rsidR="00EC013B" w:rsidRDefault="00EC013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8D"/>
    <w:rsid w:val="0030516D"/>
    <w:rsid w:val="00467077"/>
    <w:rsid w:val="008B6F0E"/>
    <w:rsid w:val="00956F8D"/>
    <w:rsid w:val="00A8496E"/>
    <w:rsid w:val="00B11103"/>
    <w:rsid w:val="00DB0116"/>
    <w:rsid w:val="00DC185C"/>
    <w:rsid w:val="00EC0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DB42"/>
  <w15:docId w15:val="{829E37C4-6DF3-4C41-A5EC-D87B5056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uiPriority w:val="9"/>
    <w:semiHidden/>
    <w:unhideWhenUsed/>
    <w:qFormat/>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pPr>
  </w:style>
  <w:style w:type="character" w:customStyle="1" w:styleId="KopfzeileZchn">
    <w:name w:val="Kopfzeile Zchn"/>
    <w:basedOn w:val="Absatz-Standardschriftart"/>
    <w:rPr>
      <w:rFonts w:ascii="Calibri" w:eastAsia="Calibri" w:hAnsi="Calibri" w:cs="Times New Roman"/>
    </w:rPr>
  </w:style>
  <w:style w:type="paragraph" w:styleId="KeinLeerraum">
    <w:name w:val="No Spacing"/>
    <w:pPr>
      <w:suppressAutoHyphens/>
      <w:spacing w:after="0"/>
    </w:pPr>
  </w:style>
  <w:style w:type="paragraph" w:styleId="Listenabsatz">
    <w:name w:val="List Paragraph"/>
    <w:basedOn w:val="Standard"/>
    <w:pPr>
      <w:ind w:left="720"/>
    </w:pPr>
  </w:style>
  <w:style w:type="character" w:customStyle="1" w:styleId="berschrift1Zchn">
    <w:name w:val="Überschrift 1 Zchn"/>
    <w:basedOn w:val="Absatz-Standardschriftart"/>
    <w:rPr>
      <w:rFonts w:ascii="Calibri Light" w:eastAsia="Times New Roman" w:hAnsi="Calibri Light" w:cs="Times New Roman"/>
      <w:color w:val="2E74B5"/>
      <w:sz w:val="32"/>
      <w:szCs w:val="32"/>
    </w:rPr>
  </w:style>
  <w:style w:type="character" w:customStyle="1" w:styleId="berschrift2Zchn">
    <w:name w:val="Überschrift 2 Zchn"/>
    <w:basedOn w:val="Absatz-Standardschriftart"/>
    <w:rPr>
      <w:rFonts w:ascii="Calibri Light" w:eastAsia="Times New Roman" w:hAnsi="Calibri Light" w:cs="Times New Roman"/>
      <w:color w:val="2E74B5"/>
      <w:sz w:val="26"/>
      <w:szCs w:val="26"/>
    </w:rPr>
  </w:style>
  <w:style w:type="paragraph" w:styleId="Sprechblasentext">
    <w:name w:val="Balloon Text"/>
    <w:basedOn w:val="Standard"/>
    <w:pPr>
      <w:spacing w:after="0"/>
    </w:pPr>
    <w:rPr>
      <w:rFonts w:ascii="Segoe UI" w:hAnsi="Segoe UI" w:cs="Segoe UI"/>
      <w:sz w:val="18"/>
      <w:szCs w:val="18"/>
    </w:rPr>
  </w:style>
  <w:style w:type="character" w:customStyle="1" w:styleId="SprechblasentextZchn">
    <w:name w:val="Sprechblasentext Zchn"/>
    <w:basedOn w:val="Absatz-Standardschriftart"/>
    <w:rPr>
      <w:rFonts w:ascii="Segoe UI" w:eastAsia="Calibri" w:hAnsi="Segoe UI" w:cs="Segoe UI"/>
      <w:sz w:val="18"/>
      <w:szCs w:val="18"/>
    </w:rPr>
  </w:style>
  <w:style w:type="paragraph" w:styleId="StandardWeb">
    <w:name w:val="Normal (Web)"/>
    <w:basedOn w:val="Standard"/>
    <w:pPr>
      <w:suppressAutoHyphens w:val="0"/>
      <w:spacing w:before="100" w:after="100"/>
      <w:textAlignment w:val="auto"/>
    </w:pPr>
    <w:rPr>
      <w:rFonts w:cs="Calibri"/>
      <w:lang w:eastAsia="de-DE"/>
    </w:rPr>
  </w:style>
  <w:style w:type="paragraph" w:styleId="Fuzeile">
    <w:name w:val="footer"/>
    <w:basedOn w:val="Standard"/>
    <w:pPr>
      <w:tabs>
        <w:tab w:val="center" w:pos="4536"/>
        <w:tab w:val="right" w:pos="9072"/>
      </w:tabs>
      <w:spacing w:after="0"/>
    </w:pPr>
  </w:style>
  <w:style w:type="character" w:customStyle="1" w:styleId="FuzeileZchn">
    <w:name w:val="Fußzeile Zchn"/>
    <w:basedOn w:val="Absatz-Standardschriftart"/>
  </w:style>
  <w:style w:type="character" w:styleId="Hyperlink">
    <w:name w:val="Hyperlink"/>
    <w:basedOn w:val="Absatz-Standardschriftart"/>
    <w:rPr>
      <w:color w:val="0563C1"/>
      <w:u w:val="single"/>
    </w:rPr>
  </w:style>
  <w:style w:type="character" w:styleId="Fett">
    <w:name w:val="Strong"/>
    <w:basedOn w:val="Absatz-Standardschriftar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ilpraktiker.org/gebuehrenverzeichnis-fuer-heilpraktik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1866</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dc:description/>
  <cp:lastModifiedBy>Petra Giegold</cp:lastModifiedBy>
  <cp:revision>5</cp:revision>
  <cp:lastPrinted>2021-05-27T07:30:00Z</cp:lastPrinted>
  <dcterms:created xsi:type="dcterms:W3CDTF">2023-08-03T15:12:00Z</dcterms:created>
  <dcterms:modified xsi:type="dcterms:W3CDTF">2023-08-03T15:29:00Z</dcterms:modified>
</cp:coreProperties>
</file>